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22F8F39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D616B2" w:rsidRPr="00D616B2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426CA8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D616B2" w:rsidRPr="00D616B2">
        <w:rPr>
          <w:rFonts w:asciiTheme="minorHAnsi" w:hAnsiTheme="minorHAnsi" w:cstheme="minorHAnsi"/>
          <w:b/>
          <w:bCs/>
          <w:sz w:val="24"/>
          <w:szCs w:val="24"/>
        </w:rPr>
        <w:t xml:space="preserve"> rozpočtu Státního fondu podpory investic na rok 2023 a střednědobého výhledu na roky 2024–2025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C50846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C50846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C50846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C50846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EACFBE" w14:textId="77777777" w:rsidR="00D616B2" w:rsidRPr="00260F69" w:rsidRDefault="00D616B2" w:rsidP="00260F69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C30AE40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>Role SFPI v současném systému státní podpory je v oblasti výstavby podporovaných bytů a zajištění dostupného bydlení v obcích a městech zásadní. Z tohoto pohledu se jeví návrh rozpočtu na rok 2023 a výhledy na roky 2024 a 2025 jako značně poddimenzované, prostřednictvím Fondu státem vynakládané prostředky na podporu bydlení vynakládané SFPI jsou dlouhodobě nedostatečné. SPS na tuto situaci již několik let poukazuje a požaduje navýšení finančních prostředků pro rok 2023 min o 3 mld Kč, v letech 2024 a 2025 pak o 8 mld.</w:t>
      </w:r>
    </w:p>
    <w:p w14:paraId="02999B67" w14:textId="77777777" w:rsidR="00D616B2" w:rsidRPr="00260F69" w:rsidRDefault="00D616B2" w:rsidP="00260F69">
      <w:pPr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EB8333" w14:textId="2F7505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Ve Výročních zprávách Fondu je v posledních letech uváděno čerpání schváleného rozpočtu ve výši 40 – 50 %. Například v roce 2021 byl čerpán rozpočet na </w:t>
      </w:r>
      <w:r w:rsidRPr="00260F69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výdajové stránce </w:t>
      </w:r>
      <w:r w:rsidRPr="00260F69">
        <w:rPr>
          <w:rFonts w:asciiTheme="minorHAnsi" w:hAnsiTheme="minorHAnsi" w:cstheme="minorHAnsi"/>
          <w:color w:val="000000"/>
          <w:sz w:val="24"/>
          <w:szCs w:val="24"/>
        </w:rPr>
        <w:t>ve výši 45,22</w:t>
      </w:r>
      <w:r w:rsidR="00AF40D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% </w:t>
      </w:r>
      <w:r w:rsidRPr="00260F69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(plán 5235 mil. Kč, skutečnost 2367 mil. Kč). </w:t>
      </w:r>
      <w:r w:rsidRPr="00260F69">
        <w:rPr>
          <w:rFonts w:asciiTheme="minorHAnsi" w:hAnsiTheme="minorHAnsi" w:cstheme="minorHAnsi"/>
          <w:color w:val="000000"/>
          <w:sz w:val="24"/>
          <w:szCs w:val="24"/>
        </w:rPr>
        <w:t>Jelikož se jedná o dlouhodobě negativní stav, lze konstatovat, že jednotlivé programy podporující bydlení jsou svým nastavením pro investory nezajímavé. Doporučujeme proto nastavit jednotlivé programy pro investory zajímavě a o jednotlivých parametrech intenzivně jednat s kompetentními partnery (SMO ČR, SČMBD, …).</w:t>
      </w:r>
    </w:p>
    <w:p w14:paraId="3B1531FE" w14:textId="77777777" w:rsidR="00D616B2" w:rsidRPr="00260F69" w:rsidRDefault="00D616B2" w:rsidP="00260F6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2BAE6C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V posledních dvou letech dochází k enormnímu nárůstu cen stavebních prací a stavebních materiálů. Na tuto situace by mělo reagováno i v rozpočtech SFPI. Již tak nízký zájem investorů bude díky nižšímu procentuálnímu podílu podpory na celkové ceně znamenat další pokles zájmu o realizaci výstavby podporovaných bytů. </w:t>
      </w:r>
    </w:p>
    <w:p w14:paraId="21CF3436" w14:textId="77777777" w:rsidR="00D616B2" w:rsidRPr="00260F69" w:rsidRDefault="00D616B2" w:rsidP="00260F69">
      <w:pPr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512C054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>V oblasti dostupného bydlení nemůže trh nahradit roli státu, obce a měst. Je politováníhodné, že přes rostoucí výši státního rozpočtu a zvyšování mandatorních (a sociálních) výdajů, stát nevynakládá dostatek prostředků na opatření, která by mohla v příštích letech snížit objem poskytovaných sociálních dávek na bydlení.</w:t>
      </w:r>
    </w:p>
    <w:p w14:paraId="5B691FA5" w14:textId="77777777" w:rsidR="00D616B2" w:rsidRPr="00260F69" w:rsidRDefault="00D616B2" w:rsidP="00260F69">
      <w:pPr>
        <w:ind w:left="7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AEFE191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>Program Výstavba, který měl být významným impulzem pro výstavbu sociálních a dostupných (nájemních) bytů v obcích a městech, nemá v návrhu rozpočtu SFPI zajištěn dostatek finančních prostředků. Opět opakujeme náš požadavek na vyčlenění vyšších finančních částek ve formě dotací.</w:t>
      </w:r>
    </w:p>
    <w:p w14:paraId="0C896850" w14:textId="420ADE79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Jedním z problémů je nestabilita příjmů </w:t>
      </w:r>
      <w:r w:rsidR="003918D6" w:rsidRPr="00260F69">
        <w:rPr>
          <w:rFonts w:asciiTheme="minorHAnsi" w:hAnsiTheme="minorHAnsi" w:cstheme="minorHAnsi"/>
          <w:color w:val="000000"/>
          <w:sz w:val="24"/>
          <w:szCs w:val="24"/>
        </w:rPr>
        <w:t>SFPI,</w:t>
      </w: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a tudíž možnost jistých vnějších vlivů (i politických) při jeho sestavování. Opětovně proto doporučujeme jednoznačně stanovit zdroje rozpočtu směřující ke zlepšení situace v oblasti výstavby podporovaných bytů a tím i vytvoření stabilního prostředí, které je důležitou podmínkou pro střednědobé plánování. Financování podpory bydlení vyžaduje zavedení dalších modelů financování jak neziskové výstavby, tak soukromé, obecní a podnikové nájemní výstavby.</w:t>
      </w:r>
    </w:p>
    <w:p w14:paraId="0E738A73" w14:textId="77777777" w:rsidR="00D616B2" w:rsidRPr="00260F69" w:rsidRDefault="00D616B2" w:rsidP="00260F69">
      <w:pPr>
        <w:pStyle w:val="Odstavecseseznamem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19318E6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Snížit sazbu DPH u bytové výstavby jako nástroj podpory nového bydlení. Na DPH si stát bere téměř pětinásobně víc, než před deseti lety a např. z každého nového bytu v Praze získá stát na daních bezmála 1 milion Kč. </w:t>
      </w:r>
    </w:p>
    <w:p w14:paraId="032EEF19" w14:textId="77777777" w:rsidR="00D616B2" w:rsidRPr="00260F69" w:rsidRDefault="00D616B2" w:rsidP="00260F69">
      <w:pPr>
        <w:pStyle w:val="Odstavecseseznamem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A9746C2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V současné době probíhá souběžně MPŘ k návrhu rozpočtu na další roky. Jen pro porovnání - předložený materiál předpokládá výdaje SFŽP v roce 2023 ve výši 34,5 mld Kč a pro další dva roky 36,5, popř. 39,4 mld Kč. Problematiky řešící oba fondy vnímáme jako podstatné pro podporu českého stavebnictví, bohužel příspěvek státu pro zlepšení situace v bydlení je velmi malý.  Jako možnost navrhujeme převést část prostředků z jiných operačních programů.                              </w:t>
      </w:r>
    </w:p>
    <w:p w14:paraId="58825A0D" w14:textId="77777777" w:rsidR="00D616B2" w:rsidRPr="00260F69" w:rsidRDefault="00D616B2" w:rsidP="00260F69">
      <w:pPr>
        <w:pStyle w:val="Odstavecseseznamem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C58096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>Doporučujeme odstranit daňové překážky pro výstavbu nájemních bytů realizovaných privátním subjektem (DPH). Konkrétně se jedná o nutnost krácení odpočtu DPH uplatňovaného na vstupu (během výstavby nemovitosti) při následném pronájmu bytů fyzickým osobám, tj. neplátcům DPH.</w:t>
      </w:r>
    </w:p>
    <w:p w14:paraId="02E2C87F" w14:textId="77777777" w:rsidR="00D616B2" w:rsidRPr="00260F69" w:rsidRDefault="00D616B2" w:rsidP="00260F69">
      <w:pPr>
        <w:pStyle w:val="Odstavecseseznamem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5A5A9E5" w14:textId="5F695DF7" w:rsidR="00D616B2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Doporučujeme umožnit výstavbu sociálních a dostupných bytů i privátním subjektům. </w:t>
      </w:r>
    </w:p>
    <w:p w14:paraId="6846B720" w14:textId="77777777" w:rsidR="00AF40D7" w:rsidRPr="00260F69" w:rsidRDefault="00AF40D7" w:rsidP="00AF40D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83F6716" w14:textId="69196D8F" w:rsidR="00D616B2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>Doporučujeme vytvořit a vyjednat standard podmínek pro realizaci projektů developerů s možností participace na projektech municipalit.</w:t>
      </w:r>
    </w:p>
    <w:p w14:paraId="0F8CE7C3" w14:textId="77777777" w:rsidR="006D5AB0" w:rsidRPr="00260F69" w:rsidRDefault="006D5AB0" w:rsidP="006D5AB0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5D6A64" w14:textId="495F53AA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Pro dokumentaci současné špatné situace upozorňujeme na dokument: „Předběžná zpráva EK k dostupnosti bydlení v EU“ (2018), který definuje příjmové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kvintily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a dělí dostupné bydlení na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Emergency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Affordable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a Market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Housing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a definuje 7 typů řešení: </w:t>
      </w:r>
    </w:p>
    <w:p w14:paraId="7CC75FCE" w14:textId="1F838399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Emergency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shelters</w:t>
      </w:r>
      <w:proofErr w:type="spellEnd"/>
    </w:p>
    <w:p w14:paraId="07B36E1B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Transition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Housing</w:t>
      </w:r>
      <w:proofErr w:type="spellEnd"/>
    </w:p>
    <w:p w14:paraId="0993B67D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Social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housing</w:t>
      </w:r>
      <w:proofErr w:type="spellEnd"/>
    </w:p>
    <w:p w14:paraId="02CC8120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Affordable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rental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housing</w:t>
      </w:r>
      <w:proofErr w:type="spellEnd"/>
    </w:p>
    <w:p w14:paraId="7A826670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Affordable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home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ownership</w:t>
      </w:r>
      <w:proofErr w:type="spellEnd"/>
    </w:p>
    <w:p w14:paraId="77A0D145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Market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rental</w:t>
      </w:r>
      <w:proofErr w:type="spellEnd"/>
    </w:p>
    <w:p w14:paraId="6F893B46" w14:textId="77777777" w:rsidR="00D616B2" w:rsidRPr="00260F69" w:rsidRDefault="00D616B2" w:rsidP="00260F69">
      <w:pPr>
        <w:numPr>
          <w:ilvl w:val="1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Market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home</w:t>
      </w:r>
      <w:proofErr w:type="spellEnd"/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260F69">
        <w:rPr>
          <w:rFonts w:asciiTheme="minorHAnsi" w:hAnsiTheme="minorHAnsi" w:cstheme="minorHAnsi"/>
          <w:color w:val="000000"/>
          <w:sz w:val="24"/>
          <w:szCs w:val="24"/>
        </w:rPr>
        <w:t>ownership</w:t>
      </w:r>
      <w:proofErr w:type="spellEnd"/>
    </w:p>
    <w:p w14:paraId="601B29C4" w14:textId="77777777" w:rsidR="00AF40D7" w:rsidRDefault="00AF40D7" w:rsidP="00260F69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EB3EC54" w14:textId="5E1BD305" w:rsidR="00D616B2" w:rsidRPr="00260F69" w:rsidRDefault="00D616B2" w:rsidP="00260F69">
      <w:pPr>
        <w:ind w:left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Léčba „problému“ trhem nefunguje posledních více jak 10 let, protože trh řeší pouze body f. a g. A státní podpora možná bod e.  Co není řešeno jsou body a. – d. jenže ty představují 60% příjmových skupin a ty bohužel ani na tržní nájemné z investičních bytů nedosáhnou. A pokud dosáhnou se státní podporou - doplatkem na bydlení, pak stát vlastně subvencuje movitějším vlastnění bytů a skrytě dotuje výstavbu investičních bytů. </w:t>
      </w:r>
    </w:p>
    <w:p w14:paraId="24942A74" w14:textId="77777777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lastRenderedPageBreak/>
        <w:t>Doporučujeme dále zapojení investičních fondů kvalifikovaných investorů s nasměrováním zdrojů EU do podpory výstavby formou návratných půjček. Tyto fondy řízené profesionálně mohou zadávat projekty developerům a stavebním firmám, přičemž zdroje takových fondů, jejich hospodaření podléhají dozoru ČNB a multiplikačním efektem přitahují další zdroje (penzijní fondy, banky, soukromé investory, zdroje církve, atd.). Fondy mají dlouhodobý charakter, nízkou výnosnost a velkou spolehlivost navyšování, popř. minimálně udržení hodnoty fondu.</w:t>
      </w:r>
    </w:p>
    <w:p w14:paraId="61BD0992" w14:textId="77777777" w:rsidR="00D616B2" w:rsidRPr="00260F69" w:rsidRDefault="00D616B2" w:rsidP="00260F69">
      <w:pPr>
        <w:pStyle w:val="Odstavecseseznamem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C251AEE" w14:textId="6569D408" w:rsidR="00D616B2" w:rsidRPr="00260F69" w:rsidRDefault="00D616B2" w:rsidP="00260F69">
      <w:pPr>
        <w:numPr>
          <w:ilvl w:val="0"/>
          <w:numId w:val="17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Podle posledních statistických šetření je dostupnost bydlení je v ČR nejhorší z EU. Kvůli nízké výstavbě máme 4. nejnižší počet bytů na obyvatele. Podle statistického serveru Numbeo.com potřebují Češi na pořízení vlastního bydlení </w:t>
      </w:r>
      <w:r w:rsidR="001A59C0" w:rsidRPr="00260F69">
        <w:rPr>
          <w:rFonts w:asciiTheme="minorHAnsi" w:hAnsiTheme="minorHAnsi" w:cstheme="minorHAnsi"/>
          <w:color w:val="000000"/>
          <w:sz w:val="24"/>
          <w:szCs w:val="24"/>
        </w:rPr>
        <w:t>15,4</w:t>
      </w:r>
      <w:r w:rsidR="001A59C0">
        <w:rPr>
          <w:rFonts w:asciiTheme="minorHAnsi" w:hAnsiTheme="minorHAnsi" w:cstheme="minorHAnsi"/>
          <w:color w:val="000000"/>
          <w:sz w:val="24"/>
          <w:szCs w:val="24"/>
        </w:rPr>
        <w:t>ročního</w:t>
      </w:r>
      <w:r w:rsidRPr="00260F69">
        <w:rPr>
          <w:rFonts w:asciiTheme="minorHAnsi" w:hAnsiTheme="minorHAnsi" w:cstheme="minorHAnsi"/>
          <w:color w:val="000000"/>
          <w:sz w:val="24"/>
          <w:szCs w:val="24"/>
        </w:rPr>
        <w:t xml:space="preserve"> platu, což je řadí až úplně na poslední místo v celé EU. V současné době spočívá současná nová bytová výstavba zejména na bedrech privátních investorů. Příspěvek státu ke zlepšení dostupnosti bydlení (a tím i snížení pořizovací ceny) je v posledních cca 10 letech naprosto minimální. MMR a SFPI by měly být jedním z nástrojů státu pro zlepšení dostupnosti bytů pro vyjmenované skupiny obyvatel. Doporučujeme proto vedení MMR realizaci zásadních systémových kroků ke zlepšení současné neutěšené situace v oblasti výstavby podporovaných bytů, zejména těch nájemních.</w:t>
      </w:r>
    </w:p>
    <w:p w14:paraId="2686DDBA" w14:textId="77777777" w:rsidR="00D616B2" w:rsidRPr="00260F69" w:rsidRDefault="00D616B2" w:rsidP="00260F6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F4E411" w14:textId="77777777" w:rsidR="00D616B2" w:rsidRPr="006D5AB0" w:rsidRDefault="00D616B2" w:rsidP="00260F69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5AB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Připomínky 1 – 7 a 14 jsou zásadní.</w:t>
      </w:r>
    </w:p>
    <w:p w14:paraId="33DE1C32" w14:textId="77777777" w:rsidR="00D616B2" w:rsidRPr="00260F69" w:rsidRDefault="00D616B2" w:rsidP="00260F6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C4B0946" w14:textId="77777777" w:rsidR="0046655B" w:rsidRPr="00260F69" w:rsidRDefault="0046655B" w:rsidP="00260F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0AB1797B" w:rsidR="00116A85" w:rsidRPr="00260F69" w:rsidRDefault="001932EA" w:rsidP="00260F6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60F69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260F69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260F69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260F6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260F69" w:rsidRDefault="00E73AD9" w:rsidP="00260F69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7F6C18" w14:textId="3B51A59C" w:rsidR="0046655B" w:rsidRPr="00260F69" w:rsidRDefault="0046655B" w:rsidP="00260F69">
      <w:pPr>
        <w:jc w:val="both"/>
        <w:rPr>
          <w:rFonts w:asciiTheme="minorHAnsi" w:hAnsiTheme="minorHAnsi" w:cstheme="minorHAnsi"/>
          <w:sz w:val="24"/>
          <w:szCs w:val="24"/>
        </w:rPr>
      </w:pPr>
      <w:r w:rsidRPr="00260F69">
        <w:rPr>
          <w:rFonts w:asciiTheme="minorHAnsi" w:hAnsiTheme="minorHAnsi" w:cstheme="minorHAnsi"/>
          <w:sz w:val="24"/>
          <w:szCs w:val="24"/>
        </w:rPr>
        <w:t xml:space="preserve">Ing. </w:t>
      </w:r>
      <w:r w:rsidR="001A59C0">
        <w:rPr>
          <w:rFonts w:asciiTheme="minorHAnsi" w:hAnsiTheme="minorHAnsi" w:cstheme="minorHAnsi"/>
          <w:sz w:val="24"/>
          <w:szCs w:val="24"/>
        </w:rPr>
        <w:t>Pavel Ševčík</w:t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Pr="00260F69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="004A1D05" w:rsidRPr="00DD1631">
          <w:rPr>
            <w:rStyle w:val="Hypertextovodkaz"/>
            <w:rFonts w:asciiTheme="minorHAnsi" w:hAnsiTheme="minorHAnsi" w:cstheme="minorHAnsi"/>
            <w:sz w:val="24"/>
            <w:szCs w:val="24"/>
          </w:rPr>
          <w:t>sevcik@sps.cz</w:t>
        </w:r>
      </w:hyperlink>
      <w:r w:rsidR="004A1D05">
        <w:rPr>
          <w:rFonts w:asciiTheme="minorHAnsi" w:hAnsiTheme="minorHAnsi" w:cstheme="minorHAnsi"/>
          <w:sz w:val="24"/>
          <w:szCs w:val="24"/>
        </w:rPr>
        <w:tab/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Pr="00260F69">
        <w:rPr>
          <w:rFonts w:asciiTheme="minorHAnsi" w:hAnsiTheme="minorHAnsi" w:cstheme="minorHAnsi"/>
          <w:sz w:val="24"/>
          <w:szCs w:val="24"/>
        </w:rPr>
        <w:t>tel</w:t>
      </w:r>
      <w:r w:rsidR="0044077B" w:rsidRPr="00260F69">
        <w:rPr>
          <w:rFonts w:asciiTheme="minorHAnsi" w:hAnsiTheme="minorHAnsi" w:cstheme="minorHAnsi"/>
          <w:sz w:val="24"/>
          <w:szCs w:val="24"/>
        </w:rPr>
        <w:t>:</w:t>
      </w:r>
      <w:r w:rsidR="0044077B" w:rsidRPr="00260F69">
        <w:rPr>
          <w:rFonts w:asciiTheme="minorHAnsi" w:hAnsiTheme="minorHAnsi" w:cstheme="minorHAnsi"/>
          <w:sz w:val="24"/>
          <w:szCs w:val="24"/>
        </w:rPr>
        <w:tab/>
      </w:r>
      <w:r w:rsidR="005552A2">
        <w:rPr>
          <w:rFonts w:asciiTheme="minorHAnsi" w:hAnsiTheme="minorHAnsi" w:cstheme="minorHAnsi"/>
          <w:sz w:val="24"/>
          <w:szCs w:val="24"/>
        </w:rPr>
        <w:t>605 205 650</w:t>
      </w:r>
    </w:p>
    <w:p w14:paraId="6AA718CE" w14:textId="6C2301A8" w:rsidR="00116A85" w:rsidRPr="00260F69" w:rsidRDefault="00B17C0F" w:rsidP="00260F69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260F69">
        <w:rPr>
          <w:rFonts w:asciiTheme="minorHAnsi" w:hAnsiTheme="minorHAnsi" w:cstheme="minorHAnsi"/>
        </w:rPr>
        <w:t>Dr.</w:t>
      </w:r>
      <w:r w:rsidR="00116A85" w:rsidRPr="00260F69">
        <w:rPr>
          <w:rFonts w:asciiTheme="minorHAnsi" w:hAnsiTheme="minorHAnsi" w:cstheme="minorHAnsi"/>
        </w:rPr>
        <w:t xml:space="preserve"> Jan Zikeš</w:t>
      </w:r>
      <w:r w:rsidR="00C02026" w:rsidRPr="00260F69">
        <w:rPr>
          <w:rFonts w:asciiTheme="minorHAnsi" w:hAnsiTheme="minorHAnsi" w:cstheme="minorHAnsi"/>
        </w:rPr>
        <w:tab/>
      </w:r>
      <w:r w:rsidR="00C02026" w:rsidRPr="00260F69">
        <w:rPr>
          <w:rFonts w:asciiTheme="minorHAnsi" w:hAnsiTheme="minorHAnsi" w:cstheme="minorHAnsi"/>
        </w:rPr>
        <w:tab/>
      </w:r>
      <w:r w:rsidR="007D6A55" w:rsidRPr="00260F69">
        <w:rPr>
          <w:rFonts w:asciiTheme="minorHAnsi" w:hAnsiTheme="minorHAnsi" w:cstheme="minorHAnsi"/>
        </w:rPr>
        <w:tab/>
      </w:r>
      <w:r w:rsidR="00F52BC5" w:rsidRPr="00260F69">
        <w:rPr>
          <w:rFonts w:asciiTheme="minorHAnsi" w:hAnsiTheme="minorHAnsi" w:cstheme="minorHAnsi"/>
        </w:rPr>
        <w:tab/>
      </w:r>
      <w:r w:rsidR="00116A85" w:rsidRPr="00260F69">
        <w:rPr>
          <w:rFonts w:asciiTheme="minorHAnsi" w:hAnsiTheme="minorHAnsi" w:cstheme="minorHAnsi"/>
        </w:rPr>
        <w:t>e</w:t>
      </w:r>
      <w:r w:rsidR="001932EA" w:rsidRPr="00260F69">
        <w:rPr>
          <w:rFonts w:asciiTheme="minorHAnsi" w:hAnsiTheme="minorHAnsi" w:cstheme="minorHAnsi"/>
        </w:rPr>
        <w:t>-</w:t>
      </w:r>
      <w:r w:rsidR="00116A85" w:rsidRPr="00260F69">
        <w:rPr>
          <w:rFonts w:asciiTheme="minorHAnsi" w:hAnsiTheme="minorHAnsi" w:cstheme="minorHAnsi"/>
        </w:rPr>
        <w:t>mail:</w:t>
      </w:r>
      <w:r w:rsidR="00B62EFD" w:rsidRPr="00260F69">
        <w:rPr>
          <w:rFonts w:asciiTheme="minorHAnsi" w:hAnsiTheme="minorHAnsi" w:cstheme="minorHAnsi"/>
        </w:rPr>
        <w:tab/>
      </w:r>
      <w:hyperlink r:id="rId12" w:history="1">
        <w:r w:rsidR="00116A85" w:rsidRPr="00260F69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260F69">
        <w:rPr>
          <w:rFonts w:asciiTheme="minorHAnsi" w:hAnsiTheme="minorHAnsi" w:cstheme="minorHAnsi"/>
        </w:rPr>
        <w:tab/>
      </w:r>
      <w:r w:rsidR="00C02026" w:rsidRPr="00260F69">
        <w:rPr>
          <w:rFonts w:asciiTheme="minorHAnsi" w:hAnsiTheme="minorHAnsi" w:cstheme="minorHAnsi"/>
        </w:rPr>
        <w:tab/>
      </w:r>
      <w:r w:rsidR="00680FD8" w:rsidRPr="00260F69">
        <w:rPr>
          <w:rFonts w:asciiTheme="minorHAnsi" w:hAnsiTheme="minorHAnsi" w:cstheme="minorHAnsi"/>
        </w:rPr>
        <w:tab/>
      </w:r>
      <w:r w:rsidR="00116A85" w:rsidRPr="00260F69">
        <w:rPr>
          <w:rFonts w:asciiTheme="minorHAnsi" w:hAnsiTheme="minorHAnsi" w:cstheme="minorHAnsi"/>
        </w:rPr>
        <w:t>tel:</w:t>
      </w:r>
      <w:r w:rsidR="00D442C1" w:rsidRPr="00260F69">
        <w:rPr>
          <w:rFonts w:asciiTheme="minorHAnsi" w:hAnsiTheme="minorHAnsi" w:cstheme="minorHAnsi"/>
        </w:rPr>
        <w:tab/>
      </w:r>
      <w:r w:rsidR="00C02026" w:rsidRPr="00260F69">
        <w:rPr>
          <w:rFonts w:asciiTheme="minorHAnsi" w:hAnsiTheme="minorHAnsi" w:cstheme="minorHAnsi"/>
        </w:rPr>
        <w:t>222 324</w:t>
      </w:r>
      <w:r w:rsidR="00B411A7" w:rsidRPr="00260F69">
        <w:rPr>
          <w:rFonts w:asciiTheme="minorHAnsi" w:hAnsiTheme="minorHAnsi" w:cstheme="minorHAnsi"/>
        </w:rPr>
        <w:t> </w:t>
      </w:r>
      <w:r w:rsidR="00C02026" w:rsidRPr="00260F69">
        <w:rPr>
          <w:rFonts w:asciiTheme="minorHAnsi" w:hAnsiTheme="minorHAnsi" w:cstheme="minorHAnsi"/>
        </w:rPr>
        <w:t>985</w:t>
      </w:r>
    </w:p>
    <w:p w14:paraId="23122064" w14:textId="45402924" w:rsidR="002234F6" w:rsidRPr="00260F69" w:rsidRDefault="002234F6" w:rsidP="00260F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260F69" w:rsidRDefault="00185976" w:rsidP="00260F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497878CD" w:rsidR="00FD1397" w:rsidRPr="00260F69" w:rsidRDefault="009A436D" w:rsidP="00260F69">
      <w:pPr>
        <w:jc w:val="both"/>
        <w:rPr>
          <w:rFonts w:asciiTheme="minorHAnsi" w:hAnsiTheme="minorHAnsi" w:cstheme="minorHAnsi"/>
          <w:sz w:val="24"/>
          <w:szCs w:val="24"/>
        </w:rPr>
      </w:pPr>
      <w:r w:rsidRPr="00260F69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260F69">
        <w:rPr>
          <w:rFonts w:asciiTheme="minorHAnsi" w:hAnsiTheme="minorHAnsi" w:cstheme="minorHAnsi"/>
          <w:sz w:val="24"/>
          <w:szCs w:val="24"/>
        </w:rPr>
        <w:t xml:space="preserve"> </w:t>
      </w:r>
      <w:r w:rsidR="00426CA8">
        <w:rPr>
          <w:rFonts w:asciiTheme="minorHAnsi" w:hAnsiTheme="minorHAnsi" w:cstheme="minorHAnsi"/>
          <w:sz w:val="24"/>
          <w:szCs w:val="24"/>
        </w:rPr>
        <w:t>24.</w:t>
      </w:r>
      <w:r w:rsidR="00D21B8B" w:rsidRPr="00260F69">
        <w:rPr>
          <w:rFonts w:asciiTheme="minorHAnsi" w:hAnsiTheme="minorHAnsi" w:cstheme="minorHAnsi"/>
          <w:sz w:val="24"/>
          <w:szCs w:val="24"/>
        </w:rPr>
        <w:t xml:space="preserve"> </w:t>
      </w:r>
      <w:r w:rsidR="001A59C0">
        <w:rPr>
          <w:rFonts w:asciiTheme="minorHAnsi" w:hAnsiTheme="minorHAnsi" w:cstheme="minorHAnsi"/>
          <w:sz w:val="24"/>
          <w:szCs w:val="24"/>
        </w:rPr>
        <w:t>sr</w:t>
      </w:r>
      <w:r w:rsidR="005552A2">
        <w:rPr>
          <w:rFonts w:asciiTheme="minorHAnsi" w:hAnsiTheme="minorHAnsi" w:cstheme="minorHAnsi"/>
          <w:sz w:val="24"/>
          <w:szCs w:val="24"/>
        </w:rPr>
        <w:t>p</w:t>
      </w:r>
      <w:r w:rsidR="001A59C0">
        <w:rPr>
          <w:rFonts w:asciiTheme="minorHAnsi" w:hAnsiTheme="minorHAnsi" w:cstheme="minorHAnsi"/>
          <w:sz w:val="24"/>
          <w:szCs w:val="24"/>
        </w:rPr>
        <w:t>na</w:t>
      </w:r>
      <w:r w:rsidR="00D21B8B" w:rsidRPr="00260F69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260F69" w:rsidRDefault="00D21B8B" w:rsidP="00260F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260F69" w:rsidRDefault="00B411A7" w:rsidP="00260F69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260F69" w:rsidRDefault="00994DDC" w:rsidP="00260F69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260F69" w:rsidRDefault="00BF1917" w:rsidP="00260F69">
      <w:pPr>
        <w:rPr>
          <w:rFonts w:asciiTheme="minorHAnsi" w:hAnsiTheme="minorHAnsi" w:cstheme="minorHAnsi"/>
          <w:b/>
          <w:sz w:val="24"/>
          <w:szCs w:val="24"/>
        </w:rPr>
      </w:pPr>
      <w:r w:rsidRPr="00260F69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E825FB" w:rsidRPr="00260F69">
        <w:rPr>
          <w:rFonts w:asciiTheme="minorHAnsi" w:hAnsiTheme="minorHAnsi" w:cstheme="minorHAnsi"/>
          <w:sz w:val="24"/>
          <w:szCs w:val="24"/>
        </w:rPr>
        <w:tab/>
      </w:r>
      <w:r w:rsidR="002A28AB" w:rsidRPr="00260F69">
        <w:rPr>
          <w:rFonts w:asciiTheme="minorHAnsi" w:hAnsiTheme="minorHAnsi" w:cstheme="minorHAnsi"/>
          <w:sz w:val="24"/>
          <w:szCs w:val="24"/>
        </w:rPr>
        <w:tab/>
      </w:r>
      <w:r w:rsidR="002A28AB" w:rsidRPr="00260F69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260F69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C523" w14:textId="77777777" w:rsidR="002A6645" w:rsidRDefault="002A6645">
      <w:r>
        <w:separator/>
      </w:r>
    </w:p>
    <w:p w14:paraId="35DCC9ED" w14:textId="77777777" w:rsidR="002A6645" w:rsidRDefault="002A6645"/>
  </w:endnote>
  <w:endnote w:type="continuationSeparator" w:id="0">
    <w:p w14:paraId="670B1400" w14:textId="77777777" w:rsidR="002A6645" w:rsidRDefault="002A6645">
      <w:r>
        <w:continuationSeparator/>
      </w:r>
    </w:p>
    <w:p w14:paraId="2F0B3D03" w14:textId="77777777" w:rsidR="002A6645" w:rsidRDefault="002A6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3837" w14:textId="77777777" w:rsidR="002A6645" w:rsidRDefault="002A6645">
      <w:r>
        <w:separator/>
      </w:r>
    </w:p>
    <w:p w14:paraId="73314C00" w14:textId="77777777" w:rsidR="002A6645" w:rsidRDefault="002A6645"/>
  </w:footnote>
  <w:footnote w:type="continuationSeparator" w:id="0">
    <w:p w14:paraId="6767AB04" w14:textId="77777777" w:rsidR="002A6645" w:rsidRDefault="002A6645">
      <w:r>
        <w:continuationSeparator/>
      </w:r>
    </w:p>
    <w:p w14:paraId="0F18B9C8" w14:textId="77777777" w:rsidR="002A6645" w:rsidRDefault="002A6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15C2C6E"/>
    <w:multiLevelType w:val="hybridMultilevel"/>
    <w:tmpl w:val="C34A7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5276573">
    <w:abstractNumId w:val="14"/>
  </w:num>
  <w:num w:numId="2" w16cid:durableId="11695188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9865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6720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0665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4261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3372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062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6654540">
    <w:abstractNumId w:val="17"/>
  </w:num>
  <w:num w:numId="10" w16cid:durableId="883954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93302">
    <w:abstractNumId w:val="8"/>
  </w:num>
  <w:num w:numId="12" w16cid:durableId="124480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0021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57370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8343905">
    <w:abstractNumId w:val="11"/>
  </w:num>
  <w:num w:numId="16" w16cid:durableId="610238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0923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A1086"/>
    <w:rsid w:val="001A59C0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0F69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6645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8D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26CA8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1D05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52A2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D5AB0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AF40D7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16B2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vcik@sp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6944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31</cp:revision>
  <cp:lastPrinted>2016-10-12T10:41:00Z</cp:lastPrinted>
  <dcterms:created xsi:type="dcterms:W3CDTF">2020-07-21T13:09:00Z</dcterms:created>
  <dcterms:modified xsi:type="dcterms:W3CDTF">2022-08-24T08:29:00Z</dcterms:modified>
</cp:coreProperties>
</file>